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2012 14 vom 9. Oktober 2012</w:t>
      </w:r>
    </w:p>
    <w:p>
      <w:r>
        <w:t>GR Gerichte, 2012-10-09, DE</w:t>
      </w:r>
    </w:p>
    <w:p>
      <w:r>
        <w:rPr>
          <w:b/>
        </w:rPr>
        <w:t xml:space="preserve">Quelle: </w:t>
      </w:r>
      <w:r>
        <w:t>https://mcp.opencaselaw.ch/entscheid/gr_gerichte_ZK2 2012 14</w:t>
      </w:r>
    </w:p>
    <w:p>
      <w:r>
        <w:t>FR: GR_GERICHTE ZK2 2012 14 du 9 octobre 2012</w:t>
      </w:r>
    </w:p>
    <w:p>
      <w:r>
        <w:t>IT: GR_GERICHTE ZK2 2012 14 del 9 ottobre 2012</w:t>
      </w:r>
    </w:p>
    <w:p>
      <w:pPr>
        <w:pStyle w:val="Heading2"/>
      </w:pPr>
      <w:r>
        <w:t>Regeste</w:t>
      </w:r>
    </w:p>
    <w:p>
      <w:r>
        <w:t>Mietstreitigkeit | Berufung OR Miete</w:t>
      </w:r>
    </w:p>
    <w:p>
      <w:pPr>
        <w:pStyle w:val="Heading2"/>
      </w:pPr>
      <w:r>
        <w:t>Erwägungen</w:t>
      </w:r>
    </w:p>
    <w:p>
      <w:r>
        <w:rPr>
          <w:b/>
        </w:rPr>
        <w:t>E. 4</w:t>
      </w:r>
    </w:p>
    <w:p>
      <w:r>
        <w:t>Die Klägerin wird verpflichtet, den Beklagten pauschal mit CHF 2‘000.- inkl. MwSt. ausseramtlich zu entschädigen.</w:t>
      </w:r>
    </w:p>
    <w:p>
      <w:r>
        <w:rPr>
          <w:b/>
        </w:rPr>
        <w:t>E. 5</w:t>
      </w:r>
    </w:p>
    <w:p>
      <w:r>
        <w:t>[Rechtsmittelbelehrung]</w:t>
      </w:r>
    </w:p>
    <w:p>
      <w:r>
        <w:rPr>
          <w:b/>
        </w:rPr>
        <w:t>E. 6</w:t>
      </w:r>
    </w:p>
    <w:p>
      <w:r>
        <w:t>In seiner Berufungsantwort beantragt der Berufungsbeklagte, die Beru- fungsklägerin sei nach Art. 128 Abs. 2 (recte: Abs. 3) ZPO wegen mutwilligen Pro- zessführens mit einer Ordnungsbusse zu belegen. Art. 128 ZPO bezweckt sicher- zustellen, dass Gerichtsverfahren ordnungsgemäss und unter Wahrung des An- stands gegenüber allen Beteiligten durchgeführt werden können. Nach Art. 124 Abs. 1 und Abs. 2 ZPO in Verbindung mit Art. 9 Abs. 1 des Gerichtsorganisations- gesetzes (GOG; BR 173.000) leitet das Gericht resp. der Vorsitzende das Verfah- ren, wozu auch die Kompetenz zum Erlass sitzungspolizeilicher Massnahmen im Sinne von Disziplinarmassnahmen nach Art. 128 ZPO gehört. Ob solche Mass-</w:t>
      </w:r>
    </w:p>
    <w:p>
      <w:r>
        <w:t>Seite 12 — 14 nahmen angebracht sind, prüft der Vorsitzende von Amtes wegen, der Gegenpar- tei steht diesbezüglich kein Antragsrecht zu (Bornatico, in: Spüh- ler/Tenchio/Infanger [Hrsg.], BSK-ZPO, a.a.O., Art. 128 N 3). Sie kann das Gericht einzig auf ein Verhalten hinweisen, welches ihrer Meinung nach die Verfahrens- disziplin verletzt oder als bös- oder mutwillige Prozessführung zu beurteilen ist. Das gestellte Begehren ist deshalb als ein solcher Hinweis entgegenzunehmen. Die Feststellung der Mutwilligkeit einer Prozessführung bedarf neben der objektiv feststellbaren Aussichtslosigkeit des Prozesses auch eines dahingehen- den subjektiven Elementes, als dass die prozessführende Partei von der Erfolglo- sigkeit ihres Ansinnens überzeugt ist, resp. mit der Anhebung des Prozesses Ziele verfolgt, die mit dem Verfahren nichts zu tun haben (Urteil des Bundesgerichtes vom 24. Mai 2012, 4A_685/2011, E. 6.2, Bornatico, a.a.O., Art. 128 N 19 ff.). Dem Gericht scheint im vorliegenden Fall keines dieser Elemente dergestalt vorzulie- gen, dass es gerechtfertigt erschiene, eine Disziplinarmassnahme nach Art. 128 Abs. 3 ZPO zu verhängen.</w:t>
      </w:r>
    </w:p>
    <w:p>
      <w:r>
        <w:rPr>
          <w:b/>
        </w:rPr>
        <w:t>E. 7</w:t>
      </w:r>
    </w:p>
    <w:p>
      <w:r>
        <w:t>Die Berufungsklägerin vermochte im vorliegenden Berufungsverfahren mit ihren Anträgen vollumfänglich nicht durchzudringen. Nach Art. 106 Abs. 1 ZPO werden die Verfahrenskosten der unterliegenden Partei, im vorliegenden Fall der Berufungsklägerin, auferlegt. Die Gerichtskosten werden nach Art. 9 der Verord- nung über die Gerichtsgebühren in Zivilverfahren (VGZ; BR 320.210) auf CHF 4‘000.- festgesetzt. a) Die amtlichen Kosten des Berufungsverfahrens sowie die im Berufungsver- fahren entstandenen Kosten der Rechtsvertretung von X. werden gestützt auf die gewährte unentgeltliche Rechtspflege nach Massgabe von Art. 122 ZPO dem Kanton Graubünden in Rechnung gestellt (s. die Verfügung des Kantonsgerichts von Graubünden betreffend die Gewährung der unentgeltlichen Rechtspflege vom 27. Juli 2012, ERZ 12 86). Die Kosten des unentgeltlichen Rechtsbeistandes be- tragen nach der dem Kantonsgericht von Graubünden am 22. Oktober 2012 ein- gereichten Honorarnote CHF 3‘681.70. Im geltend gemachten zeitlichen Aufwand von 15.75 Stunden sowie in den Barauslagen sind jedoch Positionen enthalten, die sich offenbar auf andere Verfahren (Mietausweisungsverfahren), respektive auf das Verfahren vor Bezirksgericht beziehen. Der geltend gemachte Stunden- satz von CHF 200.- befindet sich im Einklang mit Art. 5 Abs. 1 der Verordnung über die Bemessung des Honorars der Rechtsanwältinnen und Rechtsanwälte (HV; BR 310.250) und ist nicht zu beanstanden. Die eingereichte Honorarnote ist daher von den das vorliegende Verfahren nicht betreffenden Punkten zu bereini- gen und die zu entschädigenden Kosten des unentgeltlichen Rechtsbeistandes</w:t>
      </w:r>
    </w:p>
    <w:p>
      <w:r>
        <w:t>Seite 13 — 14 werden auf CHF 2‘500.- festgelegt. Die Rückforderung der geleisteten Kostenhilfe bleibt im Sinne von Art. 123 Abs. 1 ZPO vorbehalten. b) Nach Art. 122 Abs. 1 lit. d ZPO und Art. 118 Abs. 3 ZPO hat die unentgelt- lich prozessführende und unterliegende Partei die Gegenpartei gleichwohl ausser- amtlich zu entschädigen. Der Tatsache Rechnung tragend, dass der Rechtsbei- stand der Gegenpartei dem Gericht keine Kostennote eingereicht hat, erscheint in Anlehnung an die vorinstanzliche Zusprechung und unter Berücksichtigung des Aufwandes für das Berufungsverfahren ein Betrag von CHF 2‘000.- als angemes- sen.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